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5"/>
          <w:sz w:val="44"/>
          <w:szCs w:val="44"/>
          <w:lang w:val="en-US" w:eastAsia="zh-CN"/>
        </w:rPr>
        <w:t>广西云数字媒体集团视频导播切换台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5"/>
          <w:sz w:val="44"/>
          <w:szCs w:val="44"/>
        </w:rPr>
        <w:t>采购项目</w:t>
      </w:r>
      <w:r>
        <w:rPr>
          <w:rFonts w:hint="eastAsia" w:ascii="方正小标宋简体" w:hAnsi="方正小标宋简体" w:eastAsia="方正小标宋简体" w:cs="方正小标宋简体"/>
          <w:color w:val="000000"/>
          <w:w w:val="85"/>
          <w:sz w:val="44"/>
          <w:szCs w:val="44"/>
          <w:lang w:val="en-US" w:eastAsia="zh-CN"/>
        </w:rPr>
        <w:t>比选</w:t>
      </w:r>
      <w:r>
        <w:rPr>
          <w:rFonts w:hint="eastAsia" w:ascii="方正小标宋简体" w:hAnsi="方正小标宋简体" w:eastAsia="方正小标宋简体" w:cs="方正小标宋简体"/>
          <w:color w:val="000000"/>
          <w:w w:val="85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广西日报传媒集团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旗下广西云数字媒体集团近期拟采购一台视频导播切换台设备，以比选的方式进行</w:t>
      </w:r>
      <w:r>
        <w:rPr>
          <w:rFonts w:hint="eastAsia" w:ascii="仿宋" w:hAnsi="仿宋" w:eastAsia="仿宋" w:cs="仿宋"/>
          <w:sz w:val="30"/>
          <w:szCs w:val="30"/>
        </w:rPr>
        <w:t>采购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欢迎</w:t>
      </w:r>
      <w:r>
        <w:rPr>
          <w:rFonts w:hint="eastAsia" w:ascii="仿宋" w:hAnsi="仿宋" w:eastAsia="仿宋" w:cs="仿宋"/>
          <w:sz w:val="30"/>
          <w:szCs w:val="30"/>
        </w:rPr>
        <w:t>满足资格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条件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设备</w:t>
      </w:r>
      <w:r>
        <w:rPr>
          <w:rFonts w:hint="eastAsia" w:ascii="仿宋" w:hAnsi="仿宋" w:eastAsia="仿宋" w:cs="仿宋"/>
          <w:sz w:val="30"/>
          <w:szCs w:val="30"/>
        </w:rPr>
        <w:t>供应商前来参加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竞标</w:t>
      </w:r>
      <w:r>
        <w:rPr>
          <w:rFonts w:hint="eastAsia" w:ascii="仿宋" w:hAnsi="仿宋" w:eastAsia="仿宋" w:cs="仿宋"/>
          <w:sz w:val="30"/>
          <w:szCs w:val="30"/>
        </w:rPr>
        <w:t>，现将有关事项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仿宋"/>
          <w:sz w:val="30"/>
          <w:szCs w:val="30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广西云数字媒体集团</w:t>
      </w:r>
      <w:bookmarkStart w:id="4" w:name="_GoBack"/>
      <w:bookmarkEnd w:id="4"/>
      <w:r>
        <w:rPr>
          <w:rFonts w:hint="eastAsia" w:ascii="仿宋" w:hAnsi="仿宋" w:eastAsia="仿宋" w:cs="仿宋"/>
          <w:sz w:val="30"/>
          <w:szCs w:val="30"/>
        </w:rPr>
        <w:t>视频导播切换台采购项目（采购编号：RBZ20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25015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资格条件：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在中华人民共和国境内注册，有独立法人资格，有独立承担民事责任的能力，有健全的、有效的管理制度和质量保证体系，具有本次采购设备品牌的生产或销售资质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（二）本项目需在开标前提供设备供我方进行测试（测试时间约2-3天）； </w:t>
      </w:r>
    </w:p>
    <w:p>
      <w:pPr>
        <w:numPr>
          <w:ilvl w:val="0"/>
          <w:numId w:val="0"/>
        </w:numPr>
        <w:spacing w:line="480" w:lineRule="exact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  <w:lang w:eastAsia="zh-CN"/>
        </w:rPr>
        <w:t>）本项目不接受联合体投标，不允许转包及分包。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设备明细需求表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：</w:t>
      </w:r>
    </w:p>
    <w:tbl>
      <w:tblPr>
        <w:tblStyle w:val="13"/>
        <w:tblW w:w="7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296"/>
        <w:gridCol w:w="5157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型号或需求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视频导播切换台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设备必须满足实现全年365天不间断直播需求，并且能满足自动切播，并与现有演播室技术体系无缝对接。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以下配置需求为非必须项，但将作为评分依据。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一、设备选型要求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本次采购接受以下两种方案：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直播一体机方案：具备高度集成化、操作简便、功能全面的直播一体机。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硬件切播方案：硬件切换台搭配相关配件，满足专业导播功能需求。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二、设备功能需求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（一）基础功能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硬件与操作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采用硬件控制，操作界面简单易用。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支持1080P及以上全高清分辨率。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配备视音频输入、输出接口，音频跟随视频同步切换。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提供一键录制和一键直播功能。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具备直播推流、拉流功能，支持主流平台推流。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具备自主检测信号源信号的功能，并智能切换至可用的信号源。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支持高清格式固态硬盘录制存储。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具备广电级导播切换台，具有TAKE、CUT切换及T型操作。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配备键盘及鼠标操作。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显示器可实现多画面预览，实时显示每一组输入源，带有PVW、PGM明显提示显示。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支持从USB存储设备中导入、导出数据，接口需为USB 3.0及以上。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支持一键切换横屏、竖屏导播模式，一键PVW全屏、一键PGM全屏。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内置机箱温度检测及智能控制系统（最好是水冷CPU散热器）。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常规功能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输入类型：支持SDI、HDMI、USB 3.0，图片、CG、虚拟机位信号、远距云台摄像机。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含12路及以上通道，其中不少于4路SDI输入、2路HDMI独立信号，1路HDMI/VGA信号选择性输入、网络流RTSP。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输出类型：支持SDI、HDMI，不少于2路输出。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提供示波器监看，AUX指派输出，PGM最终输出，PVW预备输出。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导入格式：支持MP4、AVI、MPG、MOV、MXF。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记录格式：支持MP4、MXF。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支持实时图文包装，LOGO、字幕在线叠加，支持多种切换模式（直切、T-bar、特效切换），支持虚拟抠像功能，可一键式操作；支持专业视频混合效果，如画中画、抠像、旋转、分屏等。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具备色彩校正功能，每路输入和AUX输出都可使用RGB色彩校正功能。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包含合计3路以上3.5mm、6.5mm或卡农音频输入口。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12通道数字调音功能，支持SDI、HDMI接口混合6组立体声音频输入，支持立体声线路电平和MIC电平的音频输入。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每个通道都设有延迟功能以保持与视频的同步。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具备3.5mm监听接口。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流媒体及网络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提供丰富的流媒体协议，支持RTMP、HLS、RTSP/RTP、HDL、UDP、HTTP、MMS、NVI、NDI多协议推拉流。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直播流推送可自主设置分辨率和比特率，直录播输出分辨率/码率/帧率可调，画面输出比例可调。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支持配置PPT通道，支持接入本地文件（PPT、PDF、Word）。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采用H.264/AVC视频压缩算法和MPEG4 AAC音频压缩算法，低延迟编码技术，1080i50编码延迟低于300ms。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码流调节范围1.5-75mb/s，具备实时上下变换功能。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可设置一定延时，预监窗口发现故障时，紧急切换到备用视频，预防直播故障。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具备有线千兆网口、Wi-Fi和5G（4G）网络模块，支持多网络环境推流。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支持导播端与多路远程机位（共12方）实现双向音视频互动连线，延迟在500ms内。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全局配置信号源输入，支持接入外置摄像头信号、本地文件信号、网络流媒体信号、视频云端媒资库素材、手机投屏画面、显示器窗口画面。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内置大容量电池，外部断电情况下工作时长不少于1小时。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存储容量不少于3T，配备存储安全机制。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支持定时录像功能，可设置至少两个时间段的定时录像参数。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支持多路存储，通道及视频总输入分开存储，至少4+1路。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具备自动定时文件分割功能。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自带制作模块，可完成虚拟抠像、图文字幕等特技的制作和编辑。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支持唱词、滚屏、人名条、LOGO、柱状图、饼图、时钟、比分等字幕的制作和播出，出厂预制字幕模板。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配有快速剪辑软件，可对录制素材进行快速剪辑、输出。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系统预制多种常用多窗口模板，可任意指派信号源窗口作为多窗口显示内容。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支持PPT播放，PPT播出时保留所有特技和动画效果，支持鼠标点击跨页动画播放。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虚拟抠像在无需操作摄像机的状态下，可由近景直接变换到全景，支持嵌入第二路现场影片、预录像片或图片于默认的虚拟显示设备中。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系统可直接控制电动云台摄影机。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（二）验收要求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技术资料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中标人需提供全部技术资料，包括系统文件、软件系统支持文件、安装和测试文件、维护和操作文件及其他必要技术文件（电子版）。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设备清单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提供设备和配套件的清单、技术参数及生产单位名录。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验收流程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验：按采购人程序进行。初验结束后，中标人需将初验记录整理完整并移交采购人。如抽查测试结果与初验记录不符，中标人需重新处理，直至满足技术规范要求。采购人开具《设备开通报告》，工程投入试运行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运行：试运行期为15天。中标人需派专业技术人员现场保障。如因中标人责任导致设备功能或性能不符合技术规范，或设备停止运行，或与初验记录不一致，中标人需在12小时内响应，24小时内修复，所有费用由中标人承担。如48小时内无法解决问题，中标人需提供备用设备，确保正常工作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终验：试运行期满且无质量差错，方可进行最终验收。双方确定终验时间，合同产品检验期自交货日起至终验通过之日止。质保期自双方签署《设备开通报告》之日起计算。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质保与售后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质保期不少于1年（自项目验收合格之日起算）。设备需为全新、厂家正规生产且未经改装的合格产品，所有零部件、配件需符合国家质量安全标准，不得涉及知识产权纠纷。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质保期内设备故障时，中标人需在2小时内响应，24小时内到达现场维修，48小时内解决问题。如48小时内无法解决问题，中标人需提供同品牌同型号或更高型号的备用设备。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中标人需对采购人使用人员进行操作及相关知识培训，确保至少2人能熟练使用设备并排除简单故障。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（三）系统集成要求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设备接入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新购置的切换台需接入采购人现有演播室技术体系。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技术图纸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中标人需根据现有技术系统实际情况，出具详细的演播室技术系统设计图纸，包括电缆配置及编号文档、端口配置文档、网络布局文档、视频、同步、监看、通话、音频、设备布局图等。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配置与测试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完成切换台的初始化配置，包括三级联动设置、TALLY提示设置、分级输出设置、每路输入输出信号的帧同步配置等。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完成与切换台安装配置相关的线路铺设、测试工作。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完成切换台与其他上下游设备的功能、性能、兼容性测试，并出具测试报告，确保达到广播电视播出标准。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line="240" w:lineRule="auto"/>
              <w:ind w:left="425" w:leftChars="0" w:hanging="425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中标人需对采购人进行切换台使用、维护的现场培训，确保至少5人能熟练使用设备，并能应急处理简单故障。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三、其他说明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投标人需在投标文件中详细说明所选设备的技术参数、功能特点及与招标需求的匹配情况。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投标人需提供设备的详细报价清单，包括设备价格、配件价格、安装调试费用、培训费用、质保期内售后服务费用等。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投标人需提供设备的供货周期承诺，确保设备按时交付并投入使用。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备注：1、本采购需求中的技术参数供各供应商参考，各供应商可根据提供的应标设备的参数做出调整，但是否满足我方的实际需要，以设备实际标前测试和评审小组的评审意见为准；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2、设备测试请联系：林亮，18359605817。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0"/>
          <w:szCs w:val="30"/>
          <w:highlight w:val="none"/>
          <w:lang w:val="en-US" w:eastAsia="zh-CN"/>
        </w:rPr>
        <w:t>其他要求：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1、所有产品必须包含标准配件，保证设备正常使用。要求产品为全新的原厂原装、国内正品行货；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2、免费送货上门，免费安装调试；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3、按厂家承诺实行“三包”；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4、交货时间：现货；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5、测试及交货地点：民主路21号广西日报社办公大楼附楼4楼广西云数字媒体集团；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6、付款方式：货到后由采购人进行验收，自验收通过之日起15个工作日内支付合同金额的97%，剩余3%作为质保金待质保期结束后的15个工作日内无息退还；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7、开票要求：开具增值税专用发票；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8.与本项目有关的未尽事宜在比选谈判中沟通。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、需递交的材料：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报价表（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格式自拟，请参照我方提出的技术需求进行</w:t>
      </w:r>
      <w:bookmarkStart w:id="0" w:name="OLE_LINK1"/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响应</w:t>
      </w:r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报价采用人民币综合报价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含税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，以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包干价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进行报价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2.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公司具有履行合同所必需的服务能力，业绩、信誉良好；并提供资质证明材料、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营业执照副本、法定代表人身份证及授权委托书（复印件，加盖企业公章）；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售后服务方案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格式自拟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eastAsia="zh-CN"/>
        </w:rPr>
        <w:t>）；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 xml:space="preserve"> 4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.廉洁承诺书（详见附件一）；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以上资料按顺序排列并加盖公章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、递交文件及谈判要求：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响应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文件递交要求：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报价文件及服务方案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等响应文件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一式三份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，加盖公章）请于202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上午9:00前送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至本集团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比选评审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时间及要求：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上午9:00截标。截标后，首先对各供应商的响应报价进行开标、唱标，随后由相关人员组成的评审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小组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对各供应商的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服务方案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进行评审及打分；最后评审小组与各供应商进行一对一谈判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各供应商在一对一的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谈判结束后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书面的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最终报价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以各供应商的最终报价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作为价格得分的计算依据。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、中选方式：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）本项目采用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百分制</w:t>
      </w: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eastAsia="zh-CN"/>
        </w:rPr>
        <w:t>综合评分法，评审小组按照评分标准对各响应供应商的方案逐条进行技术打分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。</w:t>
      </w:r>
    </w:p>
    <w:p>
      <w:pPr>
        <w:pStyle w:val="2"/>
        <w:ind w:firstLine="6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sz w:val="30"/>
          <w:szCs w:val="30"/>
        </w:rPr>
        <w:t>评分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标准</w:t>
      </w:r>
      <w:r>
        <w:rPr>
          <w:rFonts w:hint="eastAsia" w:ascii="楷体" w:hAnsi="楷体" w:eastAsia="楷体" w:cs="楷体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1.价格分（30分）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 xml:space="preserve">某投标人的最终价格标得分=（所有投标人的最终最低有效报价/某投标人的最终有效报价 ）×30分，分值保留小数2位。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84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2.技术方案分（20分）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针对各供应商所提供技术方案的响应程度，进行横向对比，划分为个二个档次进行评分：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一档（10分）：基本能够满足我方提出的技术需求，</w:t>
      </w:r>
      <w:bookmarkStart w:id="1" w:name="OLE_LINK2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经评审小组评审，</w:t>
      </w:r>
      <w:bookmarkEnd w:id="1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存在负偏离的技术参数；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二档（20分）：能完全满足我方提出的技术需求，经评审小组评审，具有正偏离的技术参数。</w:t>
      </w:r>
    </w:p>
    <w:p>
      <w:pPr>
        <w:pStyle w:val="2"/>
        <w:numPr>
          <w:ilvl w:val="0"/>
          <w:numId w:val="16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设备测试分（40分）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针对各供应商所提供的测试设备，通过对测试情况进行横向对比，划分为三个档次进行评分：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bookmarkStart w:id="2" w:name="OLE_LINK3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一档（10分）：基本能满足我方的不间断直播要求，但测试过程中出现大量卡顿或其他技术故障，</w:t>
      </w:r>
      <w:bookmarkStart w:id="3" w:name="OLE_LINK4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响应和解决故障时间超过1小时的</w:t>
      </w:r>
      <w:bookmarkEnd w:id="3"/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；</w:t>
      </w:r>
      <w:bookmarkEnd w:id="2"/>
    </w:p>
    <w:p>
      <w:pPr>
        <w:pStyle w:val="2"/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二档（25分）：能满足我方的不间断直播要求，但测试过程中出现偶发卡顿或其他故障，响应和解决故障时间在1小时内的；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三档（40分）：能完全满足我方的不间断直播要求，直播过程流畅不卡顿，并能积极配合我方技术调试的。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 xml:space="preserve">    4.售后分（10分）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针对各供应商所提供的售后方案，划分为二个档次进行评分：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一档（5分）：只有基本的售后服务方案，对设备的后续售后服务一般的；</w:t>
      </w:r>
    </w:p>
    <w:p>
      <w:pPr>
        <w:pStyle w:val="2"/>
        <w:ind w:firstLine="600" w:firstLineChars="200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二档（10分）：能完全满足我方对于设备的售后要求，并能提出针对性解决方案的。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highlight w:val="none"/>
          <w:lang w:val="en-US" w:eastAsia="zh-CN"/>
        </w:rPr>
        <w:t>（三）中标候选人推荐原则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评审小组根据各供应商的最终报价得分+技术得分+设备测试得分+售后分进行统计，最终得分由高到低排列次序（得分相同的，则按报价的由低到高进行排列，报价相同的，则按照测试方案得分由高到低排列，以此类推）并推荐前三名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中心根据评审小组的建议，拟定《采购比选情况汇报及请示报告》报集团领导推荐中选供应商。比选采购结果审批通过后，本中心以书面形式向中选供应商发出《中选通知书》，并将结果通知所有响应的未中选供应商。《中选通知书》是合同的一个组成部分，对采购人和中选供应商具有同等法律效力；《中选通知书》发出后，中选供应商放弃中标的，应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96" w:leftChars="284" w:firstLine="0" w:firstLineChars="0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、联系电话及通讯地址：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地址：南宁市民主路21号广西日报传媒集团10楼招标采购中心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联系电话：0771-5690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188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18107718923</w:t>
      </w:r>
      <w:r>
        <w:rPr>
          <w:rFonts w:hint="eastAsia" w:ascii="仿宋" w:hAnsi="仿宋" w:eastAsia="仿宋" w:cs="仿宋"/>
          <w:sz w:val="30"/>
          <w:szCs w:val="30"/>
        </w:rPr>
        <w:t xml:space="preserve">  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潘先生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广西日报传媒集团招标采购中心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附件1： 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highlight w:val="none"/>
        </w:rPr>
        <w:t>廉洁承诺书</w:t>
      </w:r>
    </w:p>
    <w:p>
      <w:pPr>
        <w:spacing w:line="48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广西日报传媒集团：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为有效遏制不公平竞争和违规违纪问题的发生，确保采购工作的公平、公正、公开，竞标人承诺如下事项∶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1.自觉遵守国家法律法规及有关廉政建设制度。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2.积极配合广西日报传媒集团落实执行招投标廉政建设的有关规定。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3.不使用不正当手段妨碍、排挤其它竞标单位，不围标、串标。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4.按照采购文件规定的方式进行竞标，不隐瞒本单位竞标资质的真实情况，竞标资质符合规定。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5.不引诱、骗取采购人员工泄露标底、价格、评审过程等商业秘密。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6.不擅自与采购人员工就采购文件中的质量、数量、价格、工程量、验收等条款进行私下商谈或者达成默契以降低合同要求；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7.不向采购人员工及其亲属或其委托人、代理人提供任何好处费、回扣、现金及有价证券、支付凭证、贵重礼物、借贷等；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8.不向采购人员工及其亲属提供可能影响其公正履行职务行为的宴请、娱乐、体育、休闲、旅游等活动；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9.不给采购人员工及其亲属报销任何费用；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10.不向采购人员工及其亲属提供任何名借实贿的汽车、房产等；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11.不向采购人员工及其亲属提供家庭装修、工作、出国、留学等任何利益，或以委托理财方式输送利益；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12.确保本公司人员了解并自觉遵守本承诺书，发现本公司任何人员有向采购人员工行贿倾向、建议或行为的，应予制止、批评教育，并主动向采购人通报有关情况。发现采购人员工有索贿、受贿行为的，应坚决拒绝，并向采购人领导或纪检监察部门举报；</w:t>
      </w:r>
    </w:p>
    <w:p>
      <w:pPr>
        <w:spacing w:line="480" w:lineRule="exact"/>
        <w:ind w:firstLine="600" w:firstLineChars="200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13.如发生上述情况并被查出属实的，自愿接受采购人的处罚，包括但不限于取消中标资格、被列入黑名单、解除合同、被追究赔偿所造成的经济损失等。</w:t>
      </w:r>
    </w:p>
    <w:p>
      <w:pPr>
        <w:spacing w:line="480" w:lineRule="exact"/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竞标人：（盖公章）</w:t>
      </w:r>
    </w:p>
    <w:p>
      <w:pPr>
        <w:spacing w:line="48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</w:rPr>
        <w:t>法定代表人或授权代表（签名）：                    日期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eastAsia="zh-CN"/>
        </w:rPr>
        <w:t>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D5DDD8-539C-40AD-A07D-A4D568A24F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E008E5-5BEF-44F9-899C-BCB5C4840B5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E57BCE-7408-4A69-A56A-9575511C346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111467F-02EC-4348-8B20-91D8C8B3D33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15C3751-5775-4B23-BC0D-30BBED7CF8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2207895</wp:posOffset>
              </wp:positionH>
              <wp:positionV relativeFrom="paragraph">
                <wp:posOffset>-37465</wp:posOffset>
              </wp:positionV>
              <wp:extent cx="1000760" cy="185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76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3.85pt;margin-top:-2.95pt;height:14.6pt;width:78.8pt;mso-position-horizontal-relative:margin;z-index:251659264;mso-width-relative:page;mso-height-relative:page;" filled="f" stroked="f" coordsize="21600,21600" o:gfxdata="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oTxYvZAAAACQEAAA8AAAAAAAAAAQAgAAAAIgAAAGRycy9kb3ducmV2LnhtbFBLAQIUABQAAAAI&#10;AIdO4kDOkcEhswEAAEw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93797"/>
    <w:multiLevelType w:val="singleLevel"/>
    <w:tmpl w:val="9CE93797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1">
    <w:nsid w:val="B95ADBBF"/>
    <w:multiLevelType w:val="singleLevel"/>
    <w:tmpl w:val="B95ADBBF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2">
    <w:nsid w:val="BCADFED7"/>
    <w:multiLevelType w:val="singleLevel"/>
    <w:tmpl w:val="BCADFED7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3">
    <w:nsid w:val="BE92A438"/>
    <w:multiLevelType w:val="singleLevel"/>
    <w:tmpl w:val="BE92A43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CBB3F5E1"/>
    <w:multiLevelType w:val="singleLevel"/>
    <w:tmpl w:val="CBB3F5E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F08187DE"/>
    <w:multiLevelType w:val="singleLevel"/>
    <w:tmpl w:val="F08187DE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6">
    <w:nsid w:val="1B06D380"/>
    <w:multiLevelType w:val="singleLevel"/>
    <w:tmpl w:val="1B06D38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6021536"/>
    <w:multiLevelType w:val="singleLevel"/>
    <w:tmpl w:val="360215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C6A4B3A"/>
    <w:multiLevelType w:val="singleLevel"/>
    <w:tmpl w:val="3C6A4B3A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9">
    <w:nsid w:val="5791D832"/>
    <w:multiLevelType w:val="singleLevel"/>
    <w:tmpl w:val="5791D832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abstractNum w:abstractNumId="10">
    <w:nsid w:val="591E9D14"/>
    <w:multiLevelType w:val="singleLevel"/>
    <w:tmpl w:val="591E9D14"/>
    <w:lvl w:ilvl="0" w:tentative="0">
      <w:start w:val="1"/>
      <w:numFmt w:val="chineseCounting"/>
      <w:suff w:val="nothing"/>
      <w:lvlText w:val="%1、"/>
      <w:lvlJc w:val="left"/>
    </w:lvl>
  </w:abstractNum>
  <w:abstractNum w:abstractNumId="11">
    <w:nsid w:val="60F14E0E"/>
    <w:multiLevelType w:val="singleLevel"/>
    <w:tmpl w:val="60F14E0E"/>
    <w:lvl w:ilvl="0" w:tentative="0">
      <w:start w:val="1"/>
      <w:numFmt w:val="chineseCounting"/>
      <w:suff w:val="nothing"/>
      <w:lvlText w:val="（%1）"/>
      <w:lvlJc w:val="left"/>
    </w:lvl>
  </w:abstractNum>
  <w:abstractNum w:abstractNumId="12">
    <w:nsid w:val="624E03BD"/>
    <w:multiLevelType w:val="singleLevel"/>
    <w:tmpl w:val="624E03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73EF41D"/>
    <w:multiLevelType w:val="singleLevel"/>
    <w:tmpl w:val="673EF4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4">
    <w:nsid w:val="67B4631C"/>
    <w:multiLevelType w:val="singleLevel"/>
    <w:tmpl w:val="67B4631C"/>
    <w:lvl w:ilvl="0" w:tentative="0">
      <w:start w:val="3"/>
      <w:numFmt w:val="decimal"/>
      <w:suff w:val="nothing"/>
      <w:lvlText w:val="%1."/>
      <w:lvlJc w:val="left"/>
    </w:lvl>
  </w:abstractNum>
  <w:abstractNum w:abstractNumId="15">
    <w:nsid w:val="69145BF3"/>
    <w:multiLevelType w:val="singleLevel"/>
    <w:tmpl w:val="69145BF3"/>
    <w:lvl w:ilvl="0" w:tentative="0">
      <w:start w:val="1"/>
      <w:numFmt w:val="decimalEnclosedCircleChinese"/>
      <w:suff w:val="nothing"/>
      <w:lvlText w:val="%1　"/>
      <w:lvlJc w:val="left"/>
      <w:pPr>
        <w:ind w:left="0" w:firstLine="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5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OThmODc0OWE4NWE3ODhlZGMwZDQ5Yjg5MTM3ZGMifQ=="/>
  </w:docVars>
  <w:rsids>
    <w:rsidRoot w:val="00172A27"/>
    <w:rsid w:val="000B247E"/>
    <w:rsid w:val="00236AC4"/>
    <w:rsid w:val="002B6C5E"/>
    <w:rsid w:val="0034682A"/>
    <w:rsid w:val="00440BF8"/>
    <w:rsid w:val="004D1A7F"/>
    <w:rsid w:val="005054C7"/>
    <w:rsid w:val="005832E4"/>
    <w:rsid w:val="005F3353"/>
    <w:rsid w:val="0092061F"/>
    <w:rsid w:val="009B7F61"/>
    <w:rsid w:val="009C7E0D"/>
    <w:rsid w:val="00AB7B2F"/>
    <w:rsid w:val="00AC74FF"/>
    <w:rsid w:val="00AE1ADD"/>
    <w:rsid w:val="00B21125"/>
    <w:rsid w:val="00B279DB"/>
    <w:rsid w:val="00E32533"/>
    <w:rsid w:val="00EC3853"/>
    <w:rsid w:val="01526B37"/>
    <w:rsid w:val="017638FF"/>
    <w:rsid w:val="01D408DE"/>
    <w:rsid w:val="029C3B08"/>
    <w:rsid w:val="03F10FCF"/>
    <w:rsid w:val="03FD3D9B"/>
    <w:rsid w:val="03FE029C"/>
    <w:rsid w:val="04824E5C"/>
    <w:rsid w:val="05720470"/>
    <w:rsid w:val="05C30697"/>
    <w:rsid w:val="0615290B"/>
    <w:rsid w:val="06465D04"/>
    <w:rsid w:val="07736966"/>
    <w:rsid w:val="079A1712"/>
    <w:rsid w:val="08736620"/>
    <w:rsid w:val="092B0A49"/>
    <w:rsid w:val="09C72B21"/>
    <w:rsid w:val="0A454D6A"/>
    <w:rsid w:val="0A8B3F2D"/>
    <w:rsid w:val="0A8E2961"/>
    <w:rsid w:val="0B415E3B"/>
    <w:rsid w:val="0B4764BB"/>
    <w:rsid w:val="0BA308A2"/>
    <w:rsid w:val="0C2D3ED0"/>
    <w:rsid w:val="0D832366"/>
    <w:rsid w:val="0E722FC6"/>
    <w:rsid w:val="0EE54F6B"/>
    <w:rsid w:val="0FC15EFD"/>
    <w:rsid w:val="101441B1"/>
    <w:rsid w:val="106F5420"/>
    <w:rsid w:val="1127495F"/>
    <w:rsid w:val="1146795C"/>
    <w:rsid w:val="118F15BB"/>
    <w:rsid w:val="11BE3BF9"/>
    <w:rsid w:val="1200614B"/>
    <w:rsid w:val="12050F5A"/>
    <w:rsid w:val="1380529B"/>
    <w:rsid w:val="13F16460"/>
    <w:rsid w:val="14973D03"/>
    <w:rsid w:val="14FA3D61"/>
    <w:rsid w:val="157226BE"/>
    <w:rsid w:val="15CE6DD6"/>
    <w:rsid w:val="160B71C8"/>
    <w:rsid w:val="177F2F59"/>
    <w:rsid w:val="1804399E"/>
    <w:rsid w:val="18087836"/>
    <w:rsid w:val="18D1200B"/>
    <w:rsid w:val="191B4A93"/>
    <w:rsid w:val="19306800"/>
    <w:rsid w:val="1941366C"/>
    <w:rsid w:val="19937CBE"/>
    <w:rsid w:val="19E2237C"/>
    <w:rsid w:val="1A000405"/>
    <w:rsid w:val="1A1240E0"/>
    <w:rsid w:val="1A526CF6"/>
    <w:rsid w:val="1AC42199"/>
    <w:rsid w:val="1B6E6EF1"/>
    <w:rsid w:val="1C1700D6"/>
    <w:rsid w:val="1C4D59EE"/>
    <w:rsid w:val="1C8A65E4"/>
    <w:rsid w:val="1CDA607D"/>
    <w:rsid w:val="1D2B6814"/>
    <w:rsid w:val="1D6E4BC8"/>
    <w:rsid w:val="1D6F7A46"/>
    <w:rsid w:val="1E3C7136"/>
    <w:rsid w:val="1E7F9C99"/>
    <w:rsid w:val="1FC45F84"/>
    <w:rsid w:val="1FF94694"/>
    <w:rsid w:val="2078502C"/>
    <w:rsid w:val="213A5F5E"/>
    <w:rsid w:val="21524329"/>
    <w:rsid w:val="224400D1"/>
    <w:rsid w:val="22617B58"/>
    <w:rsid w:val="22E11435"/>
    <w:rsid w:val="23702414"/>
    <w:rsid w:val="238B0A2C"/>
    <w:rsid w:val="23975FAC"/>
    <w:rsid w:val="23C279A4"/>
    <w:rsid w:val="24330C2D"/>
    <w:rsid w:val="2483662D"/>
    <w:rsid w:val="24ED4C26"/>
    <w:rsid w:val="25945B01"/>
    <w:rsid w:val="27555B9E"/>
    <w:rsid w:val="28132FA7"/>
    <w:rsid w:val="28B91263"/>
    <w:rsid w:val="29236D6B"/>
    <w:rsid w:val="2B1D46DC"/>
    <w:rsid w:val="2B2D3006"/>
    <w:rsid w:val="2B443D6B"/>
    <w:rsid w:val="2BA546C5"/>
    <w:rsid w:val="2BBB531F"/>
    <w:rsid w:val="2BEF26BC"/>
    <w:rsid w:val="2BF862E3"/>
    <w:rsid w:val="2C590B59"/>
    <w:rsid w:val="2C7E04BC"/>
    <w:rsid w:val="2D21611C"/>
    <w:rsid w:val="2DD92F65"/>
    <w:rsid w:val="2E954A02"/>
    <w:rsid w:val="2EA65019"/>
    <w:rsid w:val="2F240973"/>
    <w:rsid w:val="2F265E31"/>
    <w:rsid w:val="2F9119E2"/>
    <w:rsid w:val="2FC60691"/>
    <w:rsid w:val="301C671B"/>
    <w:rsid w:val="30775BD9"/>
    <w:rsid w:val="30DD6F16"/>
    <w:rsid w:val="31197934"/>
    <w:rsid w:val="31FA4F5B"/>
    <w:rsid w:val="32162F79"/>
    <w:rsid w:val="325F25A3"/>
    <w:rsid w:val="32973DBC"/>
    <w:rsid w:val="329E79E7"/>
    <w:rsid w:val="3399510A"/>
    <w:rsid w:val="339F379A"/>
    <w:rsid w:val="33C876DE"/>
    <w:rsid w:val="34536BD8"/>
    <w:rsid w:val="34D83643"/>
    <w:rsid w:val="35A0268F"/>
    <w:rsid w:val="35BC43FF"/>
    <w:rsid w:val="36821905"/>
    <w:rsid w:val="371E29BE"/>
    <w:rsid w:val="37650479"/>
    <w:rsid w:val="37811ED2"/>
    <w:rsid w:val="381B46C4"/>
    <w:rsid w:val="3A422CE3"/>
    <w:rsid w:val="3A44638A"/>
    <w:rsid w:val="3A9B194D"/>
    <w:rsid w:val="3AB5577A"/>
    <w:rsid w:val="3B8014F7"/>
    <w:rsid w:val="3C221880"/>
    <w:rsid w:val="3CA15666"/>
    <w:rsid w:val="3D4C29D5"/>
    <w:rsid w:val="3E875729"/>
    <w:rsid w:val="3EB3631C"/>
    <w:rsid w:val="404A03B1"/>
    <w:rsid w:val="409D6C67"/>
    <w:rsid w:val="40DA6FF0"/>
    <w:rsid w:val="41011055"/>
    <w:rsid w:val="411C2491"/>
    <w:rsid w:val="41D54084"/>
    <w:rsid w:val="41DC69C1"/>
    <w:rsid w:val="42205C14"/>
    <w:rsid w:val="42232521"/>
    <w:rsid w:val="43F868E6"/>
    <w:rsid w:val="44F30BBE"/>
    <w:rsid w:val="46922DBE"/>
    <w:rsid w:val="46E045EA"/>
    <w:rsid w:val="474B3057"/>
    <w:rsid w:val="484C73A0"/>
    <w:rsid w:val="48611588"/>
    <w:rsid w:val="486B79E2"/>
    <w:rsid w:val="48DC5912"/>
    <w:rsid w:val="49F04BCD"/>
    <w:rsid w:val="4B4676E4"/>
    <w:rsid w:val="4B5714D5"/>
    <w:rsid w:val="4B8E1D0E"/>
    <w:rsid w:val="4BB014B6"/>
    <w:rsid w:val="4BE11D21"/>
    <w:rsid w:val="4C2711BF"/>
    <w:rsid w:val="4C64332A"/>
    <w:rsid w:val="4CB93E53"/>
    <w:rsid w:val="4CCC3328"/>
    <w:rsid w:val="4D0B331A"/>
    <w:rsid w:val="4D4D60A7"/>
    <w:rsid w:val="4E422048"/>
    <w:rsid w:val="4F77315B"/>
    <w:rsid w:val="4FAF1FA4"/>
    <w:rsid w:val="4FF37CBB"/>
    <w:rsid w:val="512B25E4"/>
    <w:rsid w:val="51494E79"/>
    <w:rsid w:val="51CB3434"/>
    <w:rsid w:val="51D36235"/>
    <w:rsid w:val="52A95AB7"/>
    <w:rsid w:val="52BF1F89"/>
    <w:rsid w:val="530F48A6"/>
    <w:rsid w:val="53447BD7"/>
    <w:rsid w:val="543F01E9"/>
    <w:rsid w:val="552A6ADB"/>
    <w:rsid w:val="56151A7B"/>
    <w:rsid w:val="56724A58"/>
    <w:rsid w:val="56D20050"/>
    <w:rsid w:val="571F1049"/>
    <w:rsid w:val="5784329E"/>
    <w:rsid w:val="57886A1D"/>
    <w:rsid w:val="583B105A"/>
    <w:rsid w:val="58630B00"/>
    <w:rsid w:val="58797D74"/>
    <w:rsid w:val="59A317D4"/>
    <w:rsid w:val="5A0E5D2B"/>
    <w:rsid w:val="5A715F1D"/>
    <w:rsid w:val="5AE15FB7"/>
    <w:rsid w:val="5B001E9D"/>
    <w:rsid w:val="5B363589"/>
    <w:rsid w:val="5CA01E1C"/>
    <w:rsid w:val="5CAB470E"/>
    <w:rsid w:val="5D184476"/>
    <w:rsid w:val="5E816C78"/>
    <w:rsid w:val="5EAE7FFF"/>
    <w:rsid w:val="61D868CF"/>
    <w:rsid w:val="62F62094"/>
    <w:rsid w:val="630614A4"/>
    <w:rsid w:val="634034D3"/>
    <w:rsid w:val="634D3859"/>
    <w:rsid w:val="63EA677C"/>
    <w:rsid w:val="642D44F5"/>
    <w:rsid w:val="64411E1D"/>
    <w:rsid w:val="646433AD"/>
    <w:rsid w:val="64B314D5"/>
    <w:rsid w:val="65AD0451"/>
    <w:rsid w:val="65B453AD"/>
    <w:rsid w:val="65DD5F06"/>
    <w:rsid w:val="65F235EA"/>
    <w:rsid w:val="663C0719"/>
    <w:rsid w:val="671E60DC"/>
    <w:rsid w:val="678B4E2B"/>
    <w:rsid w:val="69B377F2"/>
    <w:rsid w:val="6A094E7B"/>
    <w:rsid w:val="6AEE7B3B"/>
    <w:rsid w:val="6B70337B"/>
    <w:rsid w:val="6C155A42"/>
    <w:rsid w:val="6C6D2F6C"/>
    <w:rsid w:val="6C8B3176"/>
    <w:rsid w:val="6CBB3244"/>
    <w:rsid w:val="6CBC17B7"/>
    <w:rsid w:val="6CE0277C"/>
    <w:rsid w:val="6CE65965"/>
    <w:rsid w:val="6D081036"/>
    <w:rsid w:val="6D0D0A33"/>
    <w:rsid w:val="6D103BF0"/>
    <w:rsid w:val="6D15229A"/>
    <w:rsid w:val="6ED11F24"/>
    <w:rsid w:val="6EFB2453"/>
    <w:rsid w:val="6F5F56FD"/>
    <w:rsid w:val="6F8156E1"/>
    <w:rsid w:val="70AE398D"/>
    <w:rsid w:val="715D7C72"/>
    <w:rsid w:val="71CE25BE"/>
    <w:rsid w:val="72961F7E"/>
    <w:rsid w:val="730C5CF1"/>
    <w:rsid w:val="7366414A"/>
    <w:rsid w:val="73672DCF"/>
    <w:rsid w:val="73B347E6"/>
    <w:rsid w:val="74565646"/>
    <w:rsid w:val="74645AF6"/>
    <w:rsid w:val="747F470F"/>
    <w:rsid w:val="74BA4015"/>
    <w:rsid w:val="74D45992"/>
    <w:rsid w:val="752308D3"/>
    <w:rsid w:val="752336FC"/>
    <w:rsid w:val="752E6897"/>
    <w:rsid w:val="755F39D4"/>
    <w:rsid w:val="756766E3"/>
    <w:rsid w:val="75681578"/>
    <w:rsid w:val="760254FC"/>
    <w:rsid w:val="762322A2"/>
    <w:rsid w:val="763A4C9E"/>
    <w:rsid w:val="76576FF9"/>
    <w:rsid w:val="771F7333"/>
    <w:rsid w:val="77C3728B"/>
    <w:rsid w:val="78363493"/>
    <w:rsid w:val="784C3BE4"/>
    <w:rsid w:val="7998752D"/>
    <w:rsid w:val="7AEB61E7"/>
    <w:rsid w:val="7AFD752A"/>
    <w:rsid w:val="7BA84801"/>
    <w:rsid w:val="7BC669C7"/>
    <w:rsid w:val="7C2F3D19"/>
    <w:rsid w:val="7C9171EF"/>
    <w:rsid w:val="7D337B1F"/>
    <w:rsid w:val="7DE10121"/>
    <w:rsid w:val="7E802A0D"/>
    <w:rsid w:val="7E8B4B68"/>
    <w:rsid w:val="7FE4461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Plain Text"/>
    <w:basedOn w:val="1"/>
    <w:qFormat/>
    <w:uiPriority w:val="0"/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table" w:styleId="13">
    <w:name w:val="Table Grid"/>
    <w:basedOn w:val="12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6">
    <w:name w:val="gxrb正文(3号仿宋)行距30磅"/>
    <w:basedOn w:val="1"/>
    <w:qFormat/>
    <w:uiPriority w:val="0"/>
    <w:pPr>
      <w:spacing w:line="600" w:lineRule="exact"/>
      <w:ind w:firstLine="640" w:firstLineChars="200"/>
    </w:pPr>
    <w:rPr>
      <w:rFonts w:ascii="仿宋" w:hAnsi="仿宋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1886</Words>
  <Characters>1962</Characters>
  <Lines>10</Lines>
  <Paragraphs>2</Paragraphs>
  <ScaleCrop>false</ScaleCrop>
  <LinksUpToDate>false</LinksUpToDate>
  <CharactersWithSpaces>2065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2014-05-15T17:16:00Z</dcterms:created>
  <dc:creator>QINJ</dc:creator>
  <cp:lastModifiedBy>dd</cp:lastModifiedBy>
  <cp:lastPrinted>2022-11-02T17:50:00Z</cp:lastPrinted>
  <dcterms:modified xsi:type="dcterms:W3CDTF">2025-02-19T01:59:08Z</dcterms:modified>
  <dc:title>公司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8D98E1FE4ADEE834848FB46714EB8017_43</vt:lpwstr>
  </property>
</Properties>
</file>